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CD361" w14:textId="77777777" w:rsidR="00540D8D" w:rsidRPr="00BB3633" w:rsidRDefault="00540D8D" w:rsidP="00540D8D">
      <w:pPr>
        <w:autoSpaceDE w:val="0"/>
        <w:autoSpaceDN w:val="0"/>
        <w:adjustRightInd w:val="0"/>
        <w:jc w:val="center"/>
        <w:rPr>
          <w:rFonts w:ascii="Arial" w:hAnsi="Arial" w:cs="Arial"/>
          <w:b/>
          <w:bCs/>
          <w:sz w:val="22"/>
          <w:szCs w:val="22"/>
        </w:rPr>
      </w:pPr>
      <w:r>
        <w:rPr>
          <w:rFonts w:ascii="Arial" w:hAnsi="Arial" w:cs="Arial"/>
          <w:b/>
          <w:bCs/>
          <w:sz w:val="22"/>
          <w:szCs w:val="22"/>
        </w:rPr>
        <w:t>Schroders plc</w:t>
      </w:r>
    </w:p>
    <w:p w14:paraId="1DB60B0E" w14:textId="77777777" w:rsidR="00540D8D" w:rsidRPr="00BB3633" w:rsidRDefault="00540D8D" w:rsidP="00540D8D">
      <w:pPr>
        <w:autoSpaceDE w:val="0"/>
        <w:autoSpaceDN w:val="0"/>
        <w:adjustRightInd w:val="0"/>
        <w:jc w:val="both"/>
        <w:rPr>
          <w:rFonts w:ascii="Arial" w:hAnsi="Arial" w:cs="Arial"/>
          <w:sz w:val="22"/>
          <w:szCs w:val="22"/>
        </w:rPr>
      </w:pPr>
    </w:p>
    <w:p w14:paraId="6BD2D141" w14:textId="7DC40386" w:rsidR="00540D8D" w:rsidRPr="00BB3633" w:rsidRDefault="003D676E" w:rsidP="005809D0">
      <w:pPr>
        <w:autoSpaceDE w:val="0"/>
        <w:autoSpaceDN w:val="0"/>
        <w:adjustRightInd w:val="0"/>
        <w:jc w:val="center"/>
        <w:rPr>
          <w:rFonts w:ascii="Arial" w:hAnsi="Arial" w:cs="Arial"/>
          <w:b/>
          <w:bCs/>
          <w:sz w:val="22"/>
          <w:szCs w:val="22"/>
        </w:rPr>
      </w:pPr>
      <w:r>
        <w:rPr>
          <w:rFonts w:ascii="Arial" w:hAnsi="Arial" w:cs="Arial"/>
          <w:b/>
          <w:bCs/>
          <w:sz w:val="22"/>
          <w:szCs w:val="22"/>
        </w:rPr>
        <w:t xml:space="preserve">Resolutions Passed on </w:t>
      </w:r>
      <w:r w:rsidR="0026274C">
        <w:rPr>
          <w:rFonts w:ascii="Arial" w:hAnsi="Arial" w:cs="Arial"/>
          <w:b/>
          <w:bCs/>
          <w:sz w:val="22"/>
          <w:szCs w:val="22"/>
        </w:rPr>
        <w:t>2</w:t>
      </w:r>
      <w:r w:rsidR="003B31B5">
        <w:rPr>
          <w:rFonts w:ascii="Arial" w:hAnsi="Arial" w:cs="Arial"/>
          <w:b/>
          <w:bCs/>
          <w:sz w:val="22"/>
          <w:szCs w:val="22"/>
        </w:rPr>
        <w:t>5</w:t>
      </w:r>
      <w:r w:rsidR="0026274C">
        <w:rPr>
          <w:rFonts w:ascii="Arial" w:hAnsi="Arial" w:cs="Arial"/>
          <w:b/>
          <w:bCs/>
          <w:sz w:val="22"/>
          <w:szCs w:val="22"/>
        </w:rPr>
        <w:t xml:space="preserve"> </w:t>
      </w:r>
      <w:r w:rsidR="00A16F5C">
        <w:rPr>
          <w:rFonts w:ascii="Arial" w:hAnsi="Arial" w:cs="Arial"/>
          <w:b/>
          <w:bCs/>
          <w:sz w:val="22"/>
          <w:szCs w:val="22"/>
        </w:rPr>
        <w:t>April 202</w:t>
      </w:r>
      <w:r w:rsidR="003B31B5">
        <w:rPr>
          <w:rFonts w:ascii="Arial" w:hAnsi="Arial" w:cs="Arial"/>
          <w:b/>
          <w:bCs/>
          <w:sz w:val="22"/>
          <w:szCs w:val="22"/>
        </w:rPr>
        <w:t>4</w:t>
      </w:r>
    </w:p>
    <w:p w14:paraId="11B29B29" w14:textId="77777777" w:rsidR="00540D8D" w:rsidRDefault="00540D8D" w:rsidP="00540D8D">
      <w:pPr>
        <w:autoSpaceDE w:val="0"/>
        <w:autoSpaceDN w:val="0"/>
        <w:adjustRightInd w:val="0"/>
        <w:ind w:left="426" w:hanging="426"/>
        <w:jc w:val="both"/>
        <w:rPr>
          <w:rFonts w:ascii="Arial" w:hAnsi="Arial" w:cs="Arial"/>
          <w:sz w:val="22"/>
          <w:szCs w:val="22"/>
        </w:rPr>
      </w:pPr>
    </w:p>
    <w:p w14:paraId="0BF720C8" w14:textId="6A478A61" w:rsidR="00540D8D" w:rsidRDefault="005809D0" w:rsidP="006A594A">
      <w:pPr>
        <w:autoSpaceDE w:val="0"/>
        <w:autoSpaceDN w:val="0"/>
        <w:adjustRightInd w:val="0"/>
        <w:ind w:right="-199"/>
        <w:jc w:val="both"/>
        <w:rPr>
          <w:rFonts w:ascii="Arial" w:hAnsi="Arial" w:cs="Arial"/>
          <w:sz w:val="22"/>
          <w:szCs w:val="22"/>
        </w:rPr>
      </w:pPr>
      <w:r>
        <w:rPr>
          <w:rFonts w:ascii="Arial" w:hAnsi="Arial" w:cs="Arial"/>
          <w:sz w:val="22"/>
          <w:szCs w:val="22"/>
        </w:rPr>
        <w:t xml:space="preserve">At the Company’s Annual General </w:t>
      </w:r>
      <w:r w:rsidR="006A594A">
        <w:rPr>
          <w:rFonts w:ascii="Arial" w:hAnsi="Arial" w:cs="Arial"/>
          <w:sz w:val="22"/>
          <w:szCs w:val="22"/>
        </w:rPr>
        <w:t>meeting</w:t>
      </w:r>
      <w:r>
        <w:rPr>
          <w:rFonts w:ascii="Arial" w:hAnsi="Arial" w:cs="Arial"/>
          <w:sz w:val="22"/>
          <w:szCs w:val="22"/>
        </w:rPr>
        <w:t xml:space="preserve"> which was duly convened and held at</w:t>
      </w:r>
      <w:r w:rsidR="004047A6">
        <w:rPr>
          <w:rFonts w:ascii="Arial" w:hAnsi="Arial" w:cs="Arial"/>
          <w:sz w:val="22"/>
          <w:szCs w:val="22"/>
        </w:rPr>
        <w:br/>
      </w:r>
      <w:r w:rsidR="00B27415">
        <w:rPr>
          <w:rFonts w:ascii="Arial" w:hAnsi="Arial" w:cs="Arial"/>
          <w:sz w:val="22"/>
          <w:szCs w:val="22"/>
        </w:rPr>
        <w:t>1 London Wall Place</w:t>
      </w:r>
      <w:r>
        <w:rPr>
          <w:rFonts w:ascii="Arial" w:hAnsi="Arial" w:cs="Arial"/>
          <w:sz w:val="22"/>
          <w:szCs w:val="22"/>
        </w:rPr>
        <w:t>, London EC2</w:t>
      </w:r>
      <w:r w:rsidR="00B27415">
        <w:rPr>
          <w:rFonts w:ascii="Arial" w:hAnsi="Arial" w:cs="Arial"/>
          <w:sz w:val="22"/>
          <w:szCs w:val="22"/>
        </w:rPr>
        <w:t>Y</w:t>
      </w:r>
      <w:r>
        <w:rPr>
          <w:rFonts w:ascii="Arial" w:hAnsi="Arial" w:cs="Arial"/>
          <w:sz w:val="22"/>
          <w:szCs w:val="22"/>
        </w:rPr>
        <w:t xml:space="preserve"> </w:t>
      </w:r>
      <w:r w:rsidR="00B27415">
        <w:rPr>
          <w:rFonts w:ascii="Arial" w:hAnsi="Arial" w:cs="Arial"/>
          <w:sz w:val="22"/>
          <w:szCs w:val="22"/>
        </w:rPr>
        <w:t>5AU</w:t>
      </w:r>
      <w:r>
        <w:rPr>
          <w:rFonts w:ascii="Arial" w:hAnsi="Arial" w:cs="Arial"/>
          <w:sz w:val="22"/>
          <w:szCs w:val="22"/>
        </w:rPr>
        <w:t xml:space="preserve"> </w:t>
      </w:r>
      <w:r w:rsidR="0026274C">
        <w:rPr>
          <w:rFonts w:ascii="Arial" w:hAnsi="Arial" w:cs="Arial"/>
          <w:sz w:val="22"/>
          <w:szCs w:val="22"/>
        </w:rPr>
        <w:t xml:space="preserve">and </w:t>
      </w:r>
      <w:r w:rsidR="00937EE8">
        <w:rPr>
          <w:rFonts w:ascii="Arial" w:hAnsi="Arial" w:cs="Arial"/>
          <w:sz w:val="22"/>
          <w:szCs w:val="22"/>
        </w:rPr>
        <w:t xml:space="preserve">electronically </w:t>
      </w:r>
      <w:r w:rsidR="0026274C">
        <w:rPr>
          <w:rFonts w:ascii="Arial" w:hAnsi="Arial" w:cs="Arial"/>
          <w:sz w:val="22"/>
          <w:szCs w:val="22"/>
        </w:rPr>
        <w:t xml:space="preserve">via a live broadcast </w:t>
      </w:r>
      <w:r>
        <w:rPr>
          <w:rFonts w:ascii="Arial" w:hAnsi="Arial" w:cs="Arial"/>
          <w:sz w:val="22"/>
          <w:szCs w:val="22"/>
        </w:rPr>
        <w:t xml:space="preserve">on Thursday, </w:t>
      </w:r>
      <w:r w:rsidR="00A16F5C">
        <w:rPr>
          <w:rFonts w:ascii="Arial" w:hAnsi="Arial" w:cs="Arial"/>
          <w:sz w:val="22"/>
          <w:szCs w:val="22"/>
        </w:rPr>
        <w:t>2</w:t>
      </w:r>
      <w:r w:rsidR="003B31B5">
        <w:rPr>
          <w:rFonts w:ascii="Arial" w:hAnsi="Arial" w:cs="Arial"/>
          <w:sz w:val="22"/>
          <w:szCs w:val="22"/>
        </w:rPr>
        <w:t>5</w:t>
      </w:r>
      <w:r w:rsidR="00A16F5C">
        <w:rPr>
          <w:rFonts w:ascii="Arial" w:hAnsi="Arial" w:cs="Arial"/>
          <w:sz w:val="22"/>
          <w:szCs w:val="22"/>
        </w:rPr>
        <w:t xml:space="preserve"> April 202</w:t>
      </w:r>
      <w:r w:rsidR="003B31B5">
        <w:rPr>
          <w:rFonts w:ascii="Arial" w:hAnsi="Arial" w:cs="Arial"/>
          <w:sz w:val="22"/>
          <w:szCs w:val="22"/>
        </w:rPr>
        <w:t>4</w:t>
      </w:r>
      <w:r>
        <w:rPr>
          <w:rFonts w:ascii="Arial" w:hAnsi="Arial" w:cs="Arial"/>
          <w:sz w:val="22"/>
          <w:szCs w:val="22"/>
        </w:rPr>
        <w:t>, the following resolutions were passed.</w:t>
      </w:r>
    </w:p>
    <w:p w14:paraId="22B14491" w14:textId="77777777" w:rsidR="005809D0" w:rsidRDefault="005809D0" w:rsidP="006A594A">
      <w:pPr>
        <w:autoSpaceDE w:val="0"/>
        <w:autoSpaceDN w:val="0"/>
        <w:adjustRightInd w:val="0"/>
        <w:ind w:right="-199"/>
        <w:jc w:val="both"/>
        <w:rPr>
          <w:rFonts w:ascii="Arial" w:hAnsi="Arial" w:cs="Arial"/>
          <w:sz w:val="22"/>
          <w:szCs w:val="22"/>
        </w:rPr>
      </w:pPr>
    </w:p>
    <w:p w14:paraId="78EC0811" w14:textId="01129A5D" w:rsidR="00035F62" w:rsidRPr="0007518D" w:rsidRDefault="00AE7B4D" w:rsidP="0007518D">
      <w:pPr>
        <w:autoSpaceDE w:val="0"/>
        <w:autoSpaceDN w:val="0"/>
        <w:adjustRightInd w:val="0"/>
        <w:ind w:right="-199"/>
        <w:jc w:val="both"/>
        <w:rPr>
          <w:rFonts w:ascii="Arial" w:hAnsi="Arial" w:cs="Arial"/>
          <w:sz w:val="22"/>
          <w:szCs w:val="22"/>
        </w:rPr>
      </w:pPr>
      <w:r>
        <w:rPr>
          <w:rFonts w:ascii="Arial" w:hAnsi="Arial" w:cs="Arial"/>
          <w:sz w:val="22"/>
          <w:szCs w:val="22"/>
        </w:rPr>
        <w:t>Resolution</w:t>
      </w:r>
      <w:r w:rsidR="00856F0B">
        <w:rPr>
          <w:rFonts w:ascii="Arial" w:hAnsi="Arial" w:cs="Arial"/>
          <w:sz w:val="22"/>
          <w:szCs w:val="22"/>
        </w:rPr>
        <w:t>s</w:t>
      </w:r>
      <w:r>
        <w:rPr>
          <w:rFonts w:ascii="Arial" w:hAnsi="Arial" w:cs="Arial"/>
          <w:sz w:val="22"/>
          <w:szCs w:val="22"/>
        </w:rPr>
        <w:t xml:space="preserve"> 18 </w:t>
      </w:r>
      <w:r w:rsidR="00856F0B">
        <w:rPr>
          <w:rFonts w:ascii="Arial" w:hAnsi="Arial" w:cs="Arial"/>
          <w:sz w:val="22"/>
          <w:szCs w:val="22"/>
        </w:rPr>
        <w:t xml:space="preserve">and 19 </w:t>
      </w:r>
      <w:r>
        <w:rPr>
          <w:rFonts w:ascii="Arial" w:hAnsi="Arial" w:cs="Arial"/>
          <w:sz w:val="22"/>
          <w:szCs w:val="22"/>
        </w:rPr>
        <w:t>w</w:t>
      </w:r>
      <w:r w:rsidR="00856F0B">
        <w:rPr>
          <w:rFonts w:ascii="Arial" w:hAnsi="Arial" w:cs="Arial"/>
          <w:sz w:val="22"/>
          <w:szCs w:val="22"/>
        </w:rPr>
        <w:t>ere</w:t>
      </w:r>
      <w:r>
        <w:rPr>
          <w:rFonts w:ascii="Arial" w:hAnsi="Arial" w:cs="Arial"/>
          <w:sz w:val="22"/>
          <w:szCs w:val="22"/>
        </w:rPr>
        <w:t xml:space="preserve"> passed as Ordinary Resolution</w:t>
      </w:r>
      <w:r w:rsidR="004A61D4">
        <w:rPr>
          <w:rFonts w:ascii="Arial" w:hAnsi="Arial" w:cs="Arial"/>
          <w:sz w:val="22"/>
          <w:szCs w:val="22"/>
        </w:rPr>
        <w:t>s</w:t>
      </w:r>
      <w:r>
        <w:rPr>
          <w:rFonts w:ascii="Arial" w:hAnsi="Arial" w:cs="Arial"/>
          <w:sz w:val="22"/>
          <w:szCs w:val="22"/>
        </w:rPr>
        <w:t xml:space="preserve">. </w:t>
      </w:r>
      <w:r w:rsidR="00F24682" w:rsidRPr="0007518D">
        <w:rPr>
          <w:rFonts w:ascii="Arial" w:hAnsi="Arial" w:cs="Arial"/>
          <w:sz w:val="22"/>
          <w:szCs w:val="22"/>
        </w:rPr>
        <w:t>Resolution</w:t>
      </w:r>
      <w:r w:rsidR="0007518D" w:rsidRPr="0007518D">
        <w:rPr>
          <w:rFonts w:ascii="Arial" w:hAnsi="Arial" w:cs="Arial"/>
          <w:sz w:val="22"/>
          <w:szCs w:val="22"/>
        </w:rPr>
        <w:t xml:space="preserve">s </w:t>
      </w:r>
      <w:r w:rsidR="00856F0B">
        <w:rPr>
          <w:rFonts w:ascii="Arial" w:hAnsi="Arial" w:cs="Arial"/>
          <w:sz w:val="22"/>
          <w:szCs w:val="22"/>
        </w:rPr>
        <w:t>20</w:t>
      </w:r>
      <w:r w:rsidR="0026274C" w:rsidRPr="0007518D">
        <w:rPr>
          <w:rFonts w:ascii="Arial" w:hAnsi="Arial" w:cs="Arial"/>
          <w:sz w:val="22"/>
          <w:szCs w:val="22"/>
        </w:rPr>
        <w:t xml:space="preserve"> </w:t>
      </w:r>
      <w:r w:rsidR="00136E75">
        <w:rPr>
          <w:rFonts w:ascii="Arial" w:hAnsi="Arial" w:cs="Arial"/>
          <w:sz w:val="22"/>
          <w:szCs w:val="22"/>
        </w:rPr>
        <w:t>and</w:t>
      </w:r>
      <w:r w:rsidR="0026274C" w:rsidRPr="0007518D">
        <w:rPr>
          <w:rFonts w:ascii="Arial" w:hAnsi="Arial" w:cs="Arial"/>
          <w:sz w:val="22"/>
          <w:szCs w:val="22"/>
        </w:rPr>
        <w:t xml:space="preserve"> 2</w:t>
      </w:r>
      <w:r w:rsidR="0043145F">
        <w:rPr>
          <w:rFonts w:ascii="Arial" w:hAnsi="Arial" w:cs="Arial"/>
          <w:sz w:val="22"/>
          <w:szCs w:val="22"/>
        </w:rPr>
        <w:t>1</w:t>
      </w:r>
      <w:r w:rsidR="0026274C" w:rsidRPr="0007518D">
        <w:rPr>
          <w:rFonts w:ascii="Arial" w:hAnsi="Arial" w:cs="Arial"/>
          <w:sz w:val="22"/>
          <w:szCs w:val="22"/>
        </w:rPr>
        <w:t xml:space="preserve"> </w:t>
      </w:r>
      <w:r w:rsidR="00F24682" w:rsidRPr="0007518D">
        <w:rPr>
          <w:rFonts w:ascii="Arial" w:hAnsi="Arial" w:cs="Arial"/>
          <w:sz w:val="22"/>
          <w:szCs w:val="22"/>
        </w:rPr>
        <w:t>were passed as Special Resolutions.</w:t>
      </w:r>
    </w:p>
    <w:p w14:paraId="5C46FAD3" w14:textId="77777777" w:rsidR="0053137B" w:rsidRDefault="0053137B" w:rsidP="0053137B">
      <w:pPr>
        <w:pStyle w:val="Default"/>
      </w:pPr>
    </w:p>
    <w:p w14:paraId="2A11507D" w14:textId="77777777" w:rsidR="0053137B" w:rsidRPr="000404C0" w:rsidRDefault="0053137B" w:rsidP="0053137B">
      <w:pPr>
        <w:pStyle w:val="Default"/>
        <w:rPr>
          <w:rFonts w:ascii="Arial" w:hAnsi="Arial" w:cs="Arial"/>
          <w:b/>
          <w:sz w:val="22"/>
        </w:rPr>
      </w:pPr>
      <w:r w:rsidRPr="000404C0">
        <w:rPr>
          <w:rFonts w:ascii="Arial" w:hAnsi="Arial" w:cs="Arial"/>
          <w:b/>
          <w:sz w:val="22"/>
        </w:rPr>
        <w:t xml:space="preserve">Political Donations </w:t>
      </w:r>
    </w:p>
    <w:p w14:paraId="75498B19" w14:textId="77777777" w:rsidR="0053137B" w:rsidRDefault="0053137B" w:rsidP="0053137B">
      <w:pPr>
        <w:pStyle w:val="Default"/>
      </w:pPr>
    </w:p>
    <w:p w14:paraId="216A270F" w14:textId="77777777" w:rsidR="0053137B" w:rsidRDefault="0053137B" w:rsidP="0053137B">
      <w:pPr>
        <w:pStyle w:val="Default"/>
        <w:numPr>
          <w:ilvl w:val="0"/>
          <w:numId w:val="11"/>
        </w:numPr>
        <w:jc w:val="both"/>
        <w:rPr>
          <w:rFonts w:ascii="Arial" w:hAnsi="Arial" w:cs="Arial"/>
          <w:bCs/>
          <w:sz w:val="22"/>
        </w:rPr>
      </w:pPr>
      <w:r w:rsidRPr="00220A0A">
        <w:rPr>
          <w:rFonts w:ascii="Arial" w:hAnsi="Arial" w:cs="Arial"/>
          <w:bCs/>
          <w:sz w:val="22"/>
        </w:rPr>
        <w:t>That</w:t>
      </w:r>
      <w:r>
        <w:rPr>
          <w:rFonts w:ascii="Arial" w:hAnsi="Arial" w:cs="Arial"/>
          <w:bCs/>
          <w:sz w:val="22"/>
        </w:rPr>
        <w:t xml:space="preserve"> </w:t>
      </w:r>
      <w:r w:rsidRPr="00532683">
        <w:rPr>
          <w:rFonts w:ascii="Arial" w:hAnsi="Arial" w:cs="Arial"/>
          <w:bCs/>
          <w:sz w:val="22"/>
        </w:rPr>
        <w:t xml:space="preserve">pursuant to section 366 of the Companies Act 2006 the Company and all companies that are subsidiaries of it at any time during the period for which this resolution shall have effect be and are hereby authorised to: </w:t>
      </w:r>
    </w:p>
    <w:p w14:paraId="0069305D" w14:textId="77777777" w:rsidR="0053137B" w:rsidRDefault="0053137B" w:rsidP="0053137B">
      <w:pPr>
        <w:pStyle w:val="Default"/>
        <w:ind w:left="360"/>
        <w:jc w:val="both"/>
        <w:rPr>
          <w:rFonts w:ascii="Arial" w:hAnsi="Arial" w:cs="Arial"/>
          <w:bCs/>
          <w:sz w:val="22"/>
        </w:rPr>
      </w:pPr>
    </w:p>
    <w:p w14:paraId="5E70FEF4" w14:textId="77777777" w:rsidR="0053137B" w:rsidRPr="00FC2121" w:rsidRDefault="0053137B" w:rsidP="0053137B">
      <w:pPr>
        <w:pStyle w:val="Default"/>
        <w:numPr>
          <w:ilvl w:val="1"/>
          <w:numId w:val="11"/>
        </w:numPr>
        <w:jc w:val="both"/>
        <w:rPr>
          <w:rFonts w:ascii="Arial" w:hAnsi="Arial" w:cs="Arial"/>
          <w:bCs/>
          <w:sz w:val="22"/>
        </w:rPr>
      </w:pPr>
      <w:r w:rsidRPr="00532683">
        <w:rPr>
          <w:rFonts w:ascii="Arial" w:hAnsi="Arial" w:cs="Arial"/>
          <w:bCs/>
          <w:sz w:val="22"/>
        </w:rPr>
        <w:t xml:space="preserve">make political donations to political parties or independent election candidates not exceeding £50,000 in </w:t>
      </w:r>
      <w:proofErr w:type="gramStart"/>
      <w:r w:rsidRPr="00532683">
        <w:rPr>
          <w:rFonts w:ascii="Arial" w:hAnsi="Arial" w:cs="Arial"/>
          <w:bCs/>
          <w:sz w:val="22"/>
        </w:rPr>
        <w:t>total;</w:t>
      </w:r>
      <w:proofErr w:type="gramEnd"/>
      <w:r w:rsidRPr="00532683">
        <w:rPr>
          <w:rFonts w:ascii="Arial" w:hAnsi="Arial" w:cs="Arial"/>
          <w:bCs/>
          <w:sz w:val="22"/>
        </w:rPr>
        <w:t xml:space="preserve"> </w:t>
      </w:r>
    </w:p>
    <w:p w14:paraId="2FF1C610" w14:textId="77777777" w:rsidR="0053137B" w:rsidRPr="00FC2121" w:rsidRDefault="0053137B" w:rsidP="0053137B">
      <w:pPr>
        <w:pStyle w:val="Default"/>
        <w:numPr>
          <w:ilvl w:val="1"/>
          <w:numId w:val="11"/>
        </w:numPr>
        <w:jc w:val="both"/>
        <w:rPr>
          <w:rFonts w:ascii="Arial" w:hAnsi="Arial" w:cs="Arial"/>
          <w:bCs/>
          <w:sz w:val="22"/>
        </w:rPr>
      </w:pPr>
      <w:r w:rsidRPr="00532683">
        <w:rPr>
          <w:rFonts w:ascii="Arial" w:hAnsi="Arial" w:cs="Arial"/>
          <w:bCs/>
          <w:sz w:val="22"/>
        </w:rPr>
        <w:t xml:space="preserve">make political donations to political organisations other than political parties not exceeding £50,000 in total; and </w:t>
      </w:r>
    </w:p>
    <w:p w14:paraId="6948197E" w14:textId="77777777" w:rsidR="0053137B" w:rsidRDefault="0053137B" w:rsidP="0053137B">
      <w:pPr>
        <w:pStyle w:val="Default"/>
        <w:numPr>
          <w:ilvl w:val="1"/>
          <w:numId w:val="11"/>
        </w:numPr>
        <w:jc w:val="both"/>
        <w:rPr>
          <w:rFonts w:ascii="Arial" w:hAnsi="Arial" w:cs="Arial"/>
          <w:bCs/>
          <w:sz w:val="22"/>
        </w:rPr>
      </w:pPr>
      <w:r w:rsidRPr="00532683">
        <w:rPr>
          <w:rFonts w:ascii="Arial" w:hAnsi="Arial" w:cs="Arial"/>
          <w:bCs/>
          <w:sz w:val="22"/>
        </w:rPr>
        <w:t xml:space="preserve">incur political expenditure not exceeding £50,000 in total, </w:t>
      </w:r>
    </w:p>
    <w:p w14:paraId="0E06F422" w14:textId="77777777" w:rsidR="0053137B" w:rsidRDefault="0053137B" w:rsidP="0053137B">
      <w:pPr>
        <w:pStyle w:val="Default"/>
        <w:jc w:val="both"/>
        <w:rPr>
          <w:rFonts w:ascii="Arial" w:hAnsi="Arial" w:cs="Arial"/>
          <w:bCs/>
          <w:sz w:val="22"/>
        </w:rPr>
      </w:pPr>
    </w:p>
    <w:p w14:paraId="3BD06B68" w14:textId="77777777" w:rsidR="0053137B" w:rsidRDefault="0053137B" w:rsidP="0053137B">
      <w:pPr>
        <w:pStyle w:val="Default"/>
        <w:ind w:left="357"/>
        <w:jc w:val="both"/>
        <w:rPr>
          <w:rFonts w:ascii="Arial" w:hAnsi="Arial" w:cs="Arial"/>
          <w:bCs/>
          <w:sz w:val="22"/>
        </w:rPr>
      </w:pPr>
      <w:r w:rsidRPr="00532683">
        <w:rPr>
          <w:rFonts w:ascii="Arial" w:hAnsi="Arial" w:cs="Arial"/>
          <w:bCs/>
          <w:sz w:val="22"/>
        </w:rPr>
        <w:t xml:space="preserve">provided that the aggregate amount of any such donations and expenditure shall not exceed £50,000 during the period beginning with the date of the passing of this resolution and ending on 30 April 2028 or, if sooner, at the conclusion of the Annual General Meeting of the Company to be held in 2028. </w:t>
      </w:r>
    </w:p>
    <w:p w14:paraId="45B55151" w14:textId="77777777" w:rsidR="0053137B" w:rsidRDefault="0053137B" w:rsidP="0053137B">
      <w:pPr>
        <w:pStyle w:val="Default"/>
        <w:ind w:firstLine="357"/>
        <w:jc w:val="both"/>
        <w:rPr>
          <w:rFonts w:ascii="Arial" w:hAnsi="Arial" w:cs="Arial"/>
          <w:bCs/>
          <w:sz w:val="22"/>
        </w:rPr>
      </w:pPr>
    </w:p>
    <w:p w14:paraId="57FD76C7" w14:textId="77777777" w:rsidR="0053137B" w:rsidRPr="00532683" w:rsidRDefault="0053137B" w:rsidP="0053137B">
      <w:pPr>
        <w:pStyle w:val="Default"/>
        <w:ind w:left="357"/>
        <w:jc w:val="both"/>
        <w:rPr>
          <w:rFonts w:ascii="Arial" w:hAnsi="Arial" w:cs="Arial"/>
          <w:bCs/>
          <w:sz w:val="22"/>
        </w:rPr>
      </w:pPr>
      <w:proofErr w:type="gramStart"/>
      <w:r w:rsidRPr="00532683">
        <w:rPr>
          <w:rFonts w:ascii="Arial" w:hAnsi="Arial" w:cs="Arial"/>
          <w:bCs/>
          <w:sz w:val="22"/>
        </w:rPr>
        <w:t>For the purpose of</w:t>
      </w:r>
      <w:proofErr w:type="gramEnd"/>
      <w:r w:rsidRPr="00532683">
        <w:rPr>
          <w:rFonts w:ascii="Arial" w:hAnsi="Arial" w:cs="Arial"/>
          <w:bCs/>
          <w:sz w:val="22"/>
        </w:rPr>
        <w:t xml:space="preserve"> this resolution the terms ‘political donations’, ‘independent election candidates’, ‘political organisations’ and ‘political expenditure’ have the meanings set out in sections 363 to 365 of the Companies Act 2006.</w:t>
      </w:r>
    </w:p>
    <w:p w14:paraId="31C28EC7" w14:textId="77777777" w:rsidR="0053137B" w:rsidRPr="00220A0A" w:rsidRDefault="0053137B" w:rsidP="0053137B">
      <w:pPr>
        <w:pStyle w:val="Default"/>
        <w:ind w:left="1440" w:hanging="720"/>
        <w:jc w:val="both"/>
        <w:rPr>
          <w:rFonts w:ascii="Arial" w:hAnsi="Arial" w:cs="Arial"/>
          <w:bCs/>
          <w:sz w:val="22"/>
        </w:rPr>
      </w:pPr>
    </w:p>
    <w:p w14:paraId="0FEC4402" w14:textId="77777777" w:rsidR="0053137B" w:rsidRDefault="0053137B" w:rsidP="0053137B">
      <w:pPr>
        <w:pStyle w:val="Default"/>
        <w:rPr>
          <w:rFonts w:ascii="Arial" w:hAnsi="Arial" w:cs="Arial"/>
          <w:b/>
          <w:sz w:val="22"/>
        </w:rPr>
      </w:pPr>
      <w:r w:rsidRPr="00856F0B">
        <w:rPr>
          <w:rFonts w:ascii="Arial" w:hAnsi="Arial" w:cs="Arial"/>
          <w:b/>
          <w:sz w:val="22"/>
        </w:rPr>
        <w:t xml:space="preserve">Waiver of mandatory offer provisions set out in Rule 9 of the Takeover Code </w:t>
      </w:r>
    </w:p>
    <w:p w14:paraId="75F9C0CA" w14:textId="77777777" w:rsidR="0053137B" w:rsidRPr="00856F0B" w:rsidRDefault="0053137B" w:rsidP="0053137B">
      <w:pPr>
        <w:pStyle w:val="Default"/>
        <w:rPr>
          <w:rFonts w:ascii="Arial" w:hAnsi="Arial" w:cs="Arial"/>
          <w:b/>
          <w:sz w:val="22"/>
        </w:rPr>
      </w:pPr>
    </w:p>
    <w:p w14:paraId="0965EAD7" w14:textId="77777777" w:rsidR="0053137B" w:rsidRDefault="0053137B" w:rsidP="0053137B">
      <w:pPr>
        <w:pStyle w:val="Default"/>
        <w:numPr>
          <w:ilvl w:val="0"/>
          <w:numId w:val="11"/>
        </w:numPr>
        <w:jc w:val="both"/>
        <w:rPr>
          <w:rFonts w:ascii="Arial" w:hAnsi="Arial" w:cs="Arial"/>
          <w:bCs/>
          <w:sz w:val="22"/>
        </w:rPr>
      </w:pPr>
      <w:r w:rsidRPr="000404C0">
        <w:rPr>
          <w:rFonts w:ascii="Arial" w:hAnsi="Arial" w:cs="Arial"/>
          <w:bCs/>
          <w:sz w:val="22"/>
        </w:rPr>
        <w:t>That,</w:t>
      </w:r>
      <w:r>
        <w:rPr>
          <w:rFonts w:ascii="Arial" w:hAnsi="Arial" w:cs="Arial"/>
          <w:bCs/>
          <w:sz w:val="22"/>
        </w:rPr>
        <w:t xml:space="preserve"> </w:t>
      </w:r>
      <w:r w:rsidRPr="00532683">
        <w:rPr>
          <w:rFonts w:ascii="Arial" w:hAnsi="Arial" w:cs="Arial"/>
          <w:bCs/>
          <w:sz w:val="22"/>
        </w:rPr>
        <w:t>subject to Resolution 20 being passed, approval be granted for the waiver by the Panel on Takeovers and Mergers of any obligation that could arise pursuant to Rule 9 of the Takeover Code for the Principal Shareholder Group, or any persons acting in concert with the Principal Shareholder Group, to make a general offer for all the ordinary shares in the capital of the Company (being all of the issued share capital of the Company) following any increase in the percentage of ordinary shares in which the Principal Shareholder Group, or any persons acting in concert with the Principal Shareholder Group, are interested resulting from the exercise by the Company of the authority to purchase its own ordinary shares granted pursuant to Resolution 20 below, subject to the following limitations and provisions</w:t>
      </w:r>
      <w:r w:rsidRPr="000404C0">
        <w:rPr>
          <w:rFonts w:ascii="Arial" w:hAnsi="Arial" w:cs="Arial"/>
          <w:bCs/>
          <w:sz w:val="22"/>
        </w:rPr>
        <w:t>:</w:t>
      </w:r>
    </w:p>
    <w:p w14:paraId="25EEEB7C" w14:textId="77777777" w:rsidR="0053137B" w:rsidRDefault="0053137B" w:rsidP="0053137B">
      <w:pPr>
        <w:pStyle w:val="Default"/>
        <w:ind w:left="360"/>
        <w:jc w:val="both"/>
        <w:rPr>
          <w:rFonts w:ascii="Arial" w:hAnsi="Arial" w:cs="Arial"/>
          <w:bCs/>
          <w:sz w:val="22"/>
        </w:rPr>
      </w:pPr>
    </w:p>
    <w:p w14:paraId="59CCC26C" w14:textId="77777777" w:rsidR="0053137B" w:rsidRPr="00FC2121" w:rsidRDefault="0053137B" w:rsidP="0053137B">
      <w:pPr>
        <w:pStyle w:val="Default"/>
        <w:numPr>
          <w:ilvl w:val="0"/>
          <w:numId w:val="14"/>
        </w:numPr>
        <w:jc w:val="both"/>
        <w:rPr>
          <w:rFonts w:ascii="Arial" w:hAnsi="Arial" w:cs="Arial"/>
          <w:bCs/>
          <w:sz w:val="22"/>
        </w:rPr>
      </w:pPr>
      <w:r w:rsidRPr="00532683">
        <w:rPr>
          <w:rFonts w:ascii="Arial" w:hAnsi="Arial" w:cs="Arial"/>
          <w:bCs/>
          <w:sz w:val="22"/>
        </w:rPr>
        <w:t xml:space="preserve">no approval for such waiver is given where the resulting interest of the Principal Shareholder Group, together with the interest of those acting in concert with the Principal Shareholder Group (other than the Company and any member of the Company’s Group), would exceed 47.93% or more of the ordinary shares; and </w:t>
      </w:r>
    </w:p>
    <w:p w14:paraId="1F4B82ED" w14:textId="77777777" w:rsidR="0053137B" w:rsidRDefault="0053137B" w:rsidP="0053137B">
      <w:pPr>
        <w:pStyle w:val="Default"/>
        <w:numPr>
          <w:ilvl w:val="0"/>
          <w:numId w:val="14"/>
        </w:numPr>
        <w:jc w:val="both"/>
        <w:rPr>
          <w:rFonts w:ascii="Arial" w:hAnsi="Arial" w:cs="Arial"/>
          <w:bCs/>
          <w:sz w:val="22"/>
        </w:rPr>
      </w:pPr>
      <w:r w:rsidRPr="00532683">
        <w:rPr>
          <w:rFonts w:ascii="Arial" w:hAnsi="Arial" w:cs="Arial"/>
          <w:bCs/>
          <w:sz w:val="22"/>
        </w:rPr>
        <w:t xml:space="preserve">such approval shall (unless previously renewed, varied or revoked by the Company in a general meeting) expire at the end of the Company’s next annual general meeting (or, if earlier, the close of business on 30 June 2025). </w:t>
      </w:r>
    </w:p>
    <w:p w14:paraId="2EEA81D6" w14:textId="77777777" w:rsidR="0053137B" w:rsidRDefault="0053137B" w:rsidP="0053137B">
      <w:pPr>
        <w:pStyle w:val="Default"/>
        <w:jc w:val="both"/>
        <w:rPr>
          <w:rFonts w:ascii="Arial" w:hAnsi="Arial" w:cs="Arial"/>
          <w:bCs/>
          <w:sz w:val="22"/>
        </w:rPr>
      </w:pPr>
    </w:p>
    <w:p w14:paraId="7583AA02" w14:textId="77777777" w:rsidR="0053137B" w:rsidRPr="00532683" w:rsidRDefault="0053137B" w:rsidP="0053137B">
      <w:pPr>
        <w:pStyle w:val="Default"/>
        <w:ind w:left="357"/>
        <w:jc w:val="both"/>
        <w:rPr>
          <w:rFonts w:ascii="Arial" w:hAnsi="Arial" w:cs="Arial"/>
          <w:bCs/>
          <w:sz w:val="22"/>
        </w:rPr>
      </w:pPr>
      <w:r w:rsidRPr="00532683">
        <w:rPr>
          <w:rFonts w:ascii="Arial" w:hAnsi="Arial" w:cs="Arial"/>
          <w:bCs/>
          <w:sz w:val="22"/>
        </w:rPr>
        <w:t>Only the votes cast by the Independent Shareholders, on a poll, will be counted for the purposes of Resolution 19.</w:t>
      </w:r>
    </w:p>
    <w:p w14:paraId="571E0291" w14:textId="77777777" w:rsidR="0053137B" w:rsidRDefault="0053137B" w:rsidP="0053137B">
      <w:pPr>
        <w:pStyle w:val="Default"/>
        <w:jc w:val="both"/>
        <w:rPr>
          <w:rFonts w:ascii="Arial" w:hAnsi="Arial" w:cs="Arial"/>
          <w:b/>
          <w:sz w:val="22"/>
        </w:rPr>
      </w:pPr>
    </w:p>
    <w:p w14:paraId="3555479F" w14:textId="77777777" w:rsidR="0053137B" w:rsidRPr="00856F0B" w:rsidRDefault="0053137B" w:rsidP="0053137B">
      <w:pPr>
        <w:pStyle w:val="Default"/>
        <w:jc w:val="both"/>
        <w:rPr>
          <w:rFonts w:ascii="Arial" w:hAnsi="Arial" w:cs="Arial"/>
          <w:b/>
          <w:sz w:val="22"/>
        </w:rPr>
      </w:pPr>
      <w:r w:rsidRPr="00856F0B">
        <w:rPr>
          <w:rFonts w:ascii="Arial" w:hAnsi="Arial" w:cs="Arial"/>
          <w:b/>
          <w:sz w:val="22"/>
        </w:rPr>
        <w:t xml:space="preserve">Authority to purchase own </w:t>
      </w:r>
      <w:proofErr w:type="gramStart"/>
      <w:r w:rsidRPr="00856F0B">
        <w:rPr>
          <w:rFonts w:ascii="Arial" w:hAnsi="Arial" w:cs="Arial"/>
          <w:b/>
          <w:sz w:val="22"/>
        </w:rPr>
        <w:t>shares</w:t>
      </w:r>
      <w:proofErr w:type="gramEnd"/>
      <w:r w:rsidRPr="00856F0B">
        <w:rPr>
          <w:rFonts w:ascii="Arial" w:hAnsi="Arial" w:cs="Arial"/>
          <w:b/>
          <w:sz w:val="22"/>
        </w:rPr>
        <w:t xml:space="preserve"> </w:t>
      </w:r>
    </w:p>
    <w:p w14:paraId="23A97B86" w14:textId="77777777" w:rsidR="0053137B" w:rsidRDefault="0053137B" w:rsidP="0053137B">
      <w:pPr>
        <w:pStyle w:val="Default"/>
        <w:jc w:val="both"/>
        <w:rPr>
          <w:rFonts w:ascii="Arial" w:hAnsi="Arial" w:cs="Arial"/>
          <w:bCs/>
          <w:sz w:val="22"/>
        </w:rPr>
      </w:pPr>
    </w:p>
    <w:p w14:paraId="37F49893" w14:textId="77777777" w:rsidR="0053137B" w:rsidRDefault="0053137B" w:rsidP="0053137B">
      <w:pPr>
        <w:pStyle w:val="Default"/>
        <w:numPr>
          <w:ilvl w:val="0"/>
          <w:numId w:val="13"/>
        </w:numPr>
        <w:jc w:val="both"/>
        <w:rPr>
          <w:rFonts w:ascii="Arial" w:hAnsi="Arial" w:cs="Arial"/>
          <w:bCs/>
          <w:sz w:val="22"/>
        </w:rPr>
      </w:pPr>
      <w:r w:rsidRPr="00532683">
        <w:rPr>
          <w:rFonts w:ascii="Arial" w:hAnsi="Arial" w:cs="Arial"/>
          <w:bCs/>
          <w:sz w:val="22"/>
        </w:rPr>
        <w:t xml:space="preserve">That, subject to Resolution 19 being passed, the Company be authorised for the purposes of section 701 of the Companies Act 2006 to make one or more market purchases within the meaning of section 693(4) of the Companies Act 2006 of its ordinary shares of 20 pence each, subject to the following conditions: </w:t>
      </w:r>
    </w:p>
    <w:p w14:paraId="3D8E1186" w14:textId="77777777" w:rsidR="0053137B" w:rsidRDefault="0053137B" w:rsidP="0053137B">
      <w:pPr>
        <w:pStyle w:val="Default"/>
        <w:ind w:left="360"/>
        <w:jc w:val="both"/>
        <w:rPr>
          <w:rFonts w:ascii="Arial" w:hAnsi="Arial" w:cs="Arial"/>
          <w:bCs/>
          <w:sz w:val="22"/>
        </w:rPr>
      </w:pPr>
    </w:p>
    <w:p w14:paraId="0E431E85" w14:textId="77777777" w:rsidR="0053137B" w:rsidRPr="00FC2121" w:rsidRDefault="0053137B" w:rsidP="0053137B">
      <w:pPr>
        <w:pStyle w:val="Default"/>
        <w:numPr>
          <w:ilvl w:val="1"/>
          <w:numId w:val="11"/>
        </w:numPr>
        <w:jc w:val="both"/>
        <w:rPr>
          <w:rFonts w:ascii="Arial" w:hAnsi="Arial" w:cs="Arial"/>
          <w:bCs/>
          <w:sz w:val="22"/>
        </w:rPr>
      </w:pPr>
      <w:r w:rsidRPr="00532683">
        <w:rPr>
          <w:rFonts w:ascii="Arial" w:hAnsi="Arial" w:cs="Arial"/>
          <w:bCs/>
          <w:sz w:val="22"/>
        </w:rPr>
        <w:t xml:space="preserve">such authority be limited to a maximum number of 128,515,118 </w:t>
      </w:r>
      <w:proofErr w:type="gramStart"/>
      <w:r w:rsidRPr="00532683">
        <w:rPr>
          <w:rFonts w:ascii="Arial" w:hAnsi="Arial" w:cs="Arial"/>
          <w:bCs/>
          <w:sz w:val="22"/>
        </w:rPr>
        <w:t>shares;</w:t>
      </w:r>
      <w:proofErr w:type="gramEnd"/>
      <w:r w:rsidRPr="00532683">
        <w:rPr>
          <w:rFonts w:ascii="Arial" w:hAnsi="Arial" w:cs="Arial"/>
          <w:bCs/>
          <w:sz w:val="22"/>
        </w:rPr>
        <w:t xml:space="preserve"> </w:t>
      </w:r>
    </w:p>
    <w:p w14:paraId="3FF689D1" w14:textId="77777777" w:rsidR="0053137B" w:rsidRDefault="0053137B" w:rsidP="0053137B">
      <w:pPr>
        <w:pStyle w:val="Default"/>
        <w:numPr>
          <w:ilvl w:val="1"/>
          <w:numId w:val="11"/>
        </w:numPr>
        <w:jc w:val="both"/>
        <w:rPr>
          <w:rFonts w:ascii="Arial" w:hAnsi="Arial" w:cs="Arial"/>
          <w:bCs/>
          <w:sz w:val="22"/>
        </w:rPr>
      </w:pPr>
      <w:r w:rsidRPr="00532683">
        <w:rPr>
          <w:rFonts w:ascii="Arial" w:hAnsi="Arial" w:cs="Arial"/>
          <w:bCs/>
          <w:sz w:val="22"/>
        </w:rPr>
        <w:t xml:space="preserve">in the case of purchases made otherwise than by tender offer, the maximum price, exclusive of expenses, at which shares may be purchased is the higher of: </w:t>
      </w:r>
    </w:p>
    <w:p w14:paraId="7011E4EC" w14:textId="77777777" w:rsidR="0053137B" w:rsidRDefault="0053137B" w:rsidP="0053137B">
      <w:pPr>
        <w:pStyle w:val="ListParagraph"/>
        <w:rPr>
          <w:rFonts w:ascii="Arial" w:hAnsi="Arial" w:cs="Arial"/>
          <w:bCs/>
          <w:sz w:val="22"/>
        </w:rPr>
      </w:pPr>
    </w:p>
    <w:p w14:paraId="7988354E" w14:textId="77777777" w:rsidR="0053137B" w:rsidRDefault="0053137B" w:rsidP="0053137B">
      <w:pPr>
        <w:pStyle w:val="Default"/>
        <w:numPr>
          <w:ilvl w:val="2"/>
          <w:numId w:val="11"/>
        </w:numPr>
        <w:jc w:val="both"/>
        <w:rPr>
          <w:rFonts w:ascii="Arial" w:hAnsi="Arial" w:cs="Arial"/>
          <w:bCs/>
          <w:sz w:val="22"/>
        </w:rPr>
      </w:pPr>
      <w:r w:rsidRPr="00532683">
        <w:rPr>
          <w:rFonts w:ascii="Arial" w:hAnsi="Arial" w:cs="Arial"/>
          <w:bCs/>
          <w:sz w:val="22"/>
        </w:rPr>
        <w:t xml:space="preserve">5% above the average of the middle market quotations for the shares as derived from the London Stock Exchange Daily Official List for the five business days preceding the date of purchase; and </w:t>
      </w:r>
    </w:p>
    <w:p w14:paraId="7971F009" w14:textId="77777777" w:rsidR="0053137B" w:rsidRDefault="0053137B" w:rsidP="0053137B">
      <w:pPr>
        <w:pStyle w:val="Default"/>
        <w:ind w:left="1800"/>
        <w:jc w:val="both"/>
        <w:rPr>
          <w:rFonts w:ascii="Arial" w:hAnsi="Arial" w:cs="Arial"/>
          <w:bCs/>
          <w:sz w:val="22"/>
        </w:rPr>
      </w:pPr>
    </w:p>
    <w:p w14:paraId="23128F78" w14:textId="77777777" w:rsidR="0053137B" w:rsidRDefault="0053137B" w:rsidP="0053137B">
      <w:pPr>
        <w:pStyle w:val="Default"/>
        <w:numPr>
          <w:ilvl w:val="2"/>
          <w:numId w:val="11"/>
        </w:numPr>
        <w:jc w:val="both"/>
        <w:rPr>
          <w:rFonts w:ascii="Arial" w:hAnsi="Arial" w:cs="Arial"/>
          <w:bCs/>
          <w:sz w:val="22"/>
        </w:rPr>
      </w:pPr>
      <w:r w:rsidRPr="00532683">
        <w:rPr>
          <w:rFonts w:ascii="Arial" w:hAnsi="Arial" w:cs="Arial"/>
          <w:bCs/>
          <w:sz w:val="22"/>
        </w:rPr>
        <w:t xml:space="preserve">the higher of the price of the last independent trade and the highest current independent purchase bid on the London Stock Exchange at the time the purchase is carried </w:t>
      </w:r>
      <w:proofErr w:type="gramStart"/>
      <w:r w:rsidRPr="00532683">
        <w:rPr>
          <w:rFonts w:ascii="Arial" w:hAnsi="Arial" w:cs="Arial"/>
          <w:bCs/>
          <w:sz w:val="22"/>
        </w:rPr>
        <w:t>out;</w:t>
      </w:r>
      <w:proofErr w:type="gramEnd"/>
      <w:r w:rsidRPr="00532683">
        <w:rPr>
          <w:rFonts w:ascii="Arial" w:hAnsi="Arial" w:cs="Arial"/>
          <w:bCs/>
          <w:sz w:val="22"/>
        </w:rPr>
        <w:t xml:space="preserve"> </w:t>
      </w:r>
    </w:p>
    <w:p w14:paraId="1A16AE5C" w14:textId="77777777" w:rsidR="0053137B" w:rsidRDefault="0053137B" w:rsidP="0053137B">
      <w:pPr>
        <w:pStyle w:val="ListParagraph"/>
        <w:rPr>
          <w:rFonts w:ascii="Arial" w:hAnsi="Arial" w:cs="Arial"/>
          <w:bCs/>
          <w:sz w:val="22"/>
        </w:rPr>
      </w:pPr>
    </w:p>
    <w:p w14:paraId="732BC900" w14:textId="77777777" w:rsidR="0053137B" w:rsidRPr="00FC2121" w:rsidRDefault="0053137B" w:rsidP="0053137B">
      <w:pPr>
        <w:pStyle w:val="Default"/>
        <w:numPr>
          <w:ilvl w:val="1"/>
          <w:numId w:val="11"/>
        </w:numPr>
        <w:jc w:val="both"/>
        <w:rPr>
          <w:rFonts w:ascii="Arial" w:hAnsi="Arial" w:cs="Arial"/>
          <w:bCs/>
          <w:sz w:val="22"/>
        </w:rPr>
      </w:pPr>
      <w:r w:rsidRPr="00532683">
        <w:rPr>
          <w:rFonts w:ascii="Arial" w:hAnsi="Arial" w:cs="Arial"/>
          <w:bCs/>
          <w:sz w:val="22"/>
        </w:rPr>
        <w:t xml:space="preserve">the minimum price at which shares may be purchased is 20 pence per share, exclusive of </w:t>
      </w:r>
      <w:proofErr w:type="gramStart"/>
      <w:r w:rsidRPr="00532683">
        <w:rPr>
          <w:rFonts w:ascii="Arial" w:hAnsi="Arial" w:cs="Arial"/>
          <w:bCs/>
          <w:sz w:val="22"/>
        </w:rPr>
        <w:t>expenses;</w:t>
      </w:r>
      <w:proofErr w:type="gramEnd"/>
      <w:r w:rsidRPr="00532683">
        <w:rPr>
          <w:rFonts w:ascii="Arial" w:hAnsi="Arial" w:cs="Arial"/>
          <w:bCs/>
          <w:sz w:val="22"/>
        </w:rPr>
        <w:t xml:space="preserve"> </w:t>
      </w:r>
    </w:p>
    <w:p w14:paraId="71CAED13" w14:textId="77777777" w:rsidR="0053137B" w:rsidRPr="00532683" w:rsidRDefault="0053137B" w:rsidP="0053137B">
      <w:pPr>
        <w:pStyle w:val="Default"/>
        <w:numPr>
          <w:ilvl w:val="1"/>
          <w:numId w:val="11"/>
        </w:numPr>
        <w:jc w:val="both"/>
        <w:rPr>
          <w:rFonts w:ascii="Arial" w:hAnsi="Arial" w:cs="Arial"/>
          <w:bCs/>
          <w:sz w:val="22"/>
        </w:rPr>
      </w:pPr>
      <w:r w:rsidRPr="00532683">
        <w:rPr>
          <w:rFonts w:ascii="Arial" w:hAnsi="Arial" w:cs="Arial"/>
          <w:bCs/>
          <w:sz w:val="22"/>
        </w:rPr>
        <w:t xml:space="preserve">such authority shall, unless renewed, varied or revoked by the Company in a general meeting prior to such time, expire at the conclusion of the next annual general meeting of the Company (or, if earlier, the close of business on 30 June 2025) save that the Company may before such expiry enter into a contract to purchase ordinary shares which would or might be completed or executed wholly or partly after its expiry and may make a purchase of ordinary shares in pursuance of any such contract as if such authority had not expired. </w:t>
      </w:r>
    </w:p>
    <w:p w14:paraId="10F5D749" w14:textId="77777777" w:rsidR="0053137B" w:rsidRDefault="0053137B" w:rsidP="0053137B">
      <w:pPr>
        <w:pStyle w:val="Default"/>
        <w:jc w:val="both"/>
        <w:rPr>
          <w:rFonts w:ascii="Arial" w:hAnsi="Arial" w:cs="Arial"/>
          <w:bCs/>
          <w:sz w:val="22"/>
        </w:rPr>
      </w:pPr>
    </w:p>
    <w:p w14:paraId="4250B5DB" w14:textId="77777777" w:rsidR="0053137B" w:rsidRPr="00856F0B" w:rsidRDefault="0053137B" w:rsidP="0053137B">
      <w:pPr>
        <w:pStyle w:val="Default"/>
        <w:jc w:val="both"/>
        <w:rPr>
          <w:rFonts w:ascii="Arial" w:hAnsi="Arial" w:cs="Arial"/>
          <w:b/>
          <w:sz w:val="22"/>
        </w:rPr>
      </w:pPr>
      <w:r w:rsidRPr="00856F0B">
        <w:rPr>
          <w:rFonts w:ascii="Arial" w:hAnsi="Arial" w:cs="Arial"/>
          <w:b/>
          <w:sz w:val="22"/>
        </w:rPr>
        <w:t xml:space="preserve">Notice of general meetings </w:t>
      </w:r>
    </w:p>
    <w:p w14:paraId="2D5D5E16" w14:textId="77777777" w:rsidR="0053137B" w:rsidRDefault="0053137B" w:rsidP="0053137B">
      <w:pPr>
        <w:pStyle w:val="Default"/>
        <w:jc w:val="both"/>
        <w:rPr>
          <w:rFonts w:ascii="Arial" w:hAnsi="Arial" w:cs="Arial"/>
          <w:bCs/>
          <w:sz w:val="22"/>
        </w:rPr>
      </w:pPr>
    </w:p>
    <w:p w14:paraId="71EF4F6D" w14:textId="77777777" w:rsidR="0053137B" w:rsidRPr="003A342E" w:rsidRDefault="0053137B" w:rsidP="0053137B">
      <w:pPr>
        <w:pStyle w:val="Default"/>
        <w:jc w:val="both"/>
        <w:rPr>
          <w:rFonts w:ascii="Arial" w:hAnsi="Arial" w:cs="Arial"/>
          <w:bCs/>
          <w:sz w:val="22"/>
        </w:rPr>
      </w:pPr>
      <w:r w:rsidRPr="000404C0">
        <w:rPr>
          <w:rFonts w:ascii="Arial" w:hAnsi="Arial" w:cs="Arial"/>
          <w:bCs/>
          <w:sz w:val="22"/>
        </w:rPr>
        <w:t>21. That a general meeting other than an annual general meeting may be called on not less than 14 clear days’ notice.</w:t>
      </w:r>
    </w:p>
    <w:p w14:paraId="168E2D92" w14:textId="7C3A1BBC" w:rsidR="00C6131B" w:rsidRPr="000404C0" w:rsidRDefault="00C6131B" w:rsidP="0053137B">
      <w:pPr>
        <w:pStyle w:val="Default"/>
        <w:rPr>
          <w:rFonts w:ascii="Arial" w:hAnsi="Arial" w:cs="Arial"/>
          <w:bCs/>
          <w:sz w:val="22"/>
        </w:rPr>
      </w:pPr>
    </w:p>
    <w:sectPr w:rsidR="00C6131B" w:rsidRPr="000404C0" w:rsidSect="006A594A">
      <w:pgSz w:w="11906" w:h="16838"/>
      <w:pgMar w:top="1134"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15BC3" w14:textId="77777777" w:rsidR="000F2203" w:rsidRDefault="000F2203" w:rsidP="00C12A53">
      <w:r>
        <w:separator/>
      </w:r>
    </w:p>
  </w:endnote>
  <w:endnote w:type="continuationSeparator" w:id="0">
    <w:p w14:paraId="704CA7E3" w14:textId="77777777" w:rsidR="000F2203" w:rsidRDefault="000F2203" w:rsidP="00C1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EF63" w14:textId="77777777" w:rsidR="000F2203" w:rsidRDefault="000F2203" w:rsidP="00C12A53">
      <w:r>
        <w:separator/>
      </w:r>
    </w:p>
  </w:footnote>
  <w:footnote w:type="continuationSeparator" w:id="0">
    <w:p w14:paraId="6DEBD4C7" w14:textId="77777777" w:rsidR="000F2203" w:rsidRDefault="000F2203" w:rsidP="00C12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7037"/>
    <w:multiLevelType w:val="hybridMultilevel"/>
    <w:tmpl w:val="924CE5B0"/>
    <w:lvl w:ilvl="0" w:tplc="5B7610B0">
      <w:start w:val="2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A93BB5"/>
    <w:multiLevelType w:val="hybridMultilevel"/>
    <w:tmpl w:val="78A6FB4E"/>
    <w:lvl w:ilvl="0" w:tplc="EAC41114">
      <w:start w:val="1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766B48"/>
    <w:multiLevelType w:val="hybridMultilevel"/>
    <w:tmpl w:val="3CB0BBD4"/>
    <w:lvl w:ilvl="0" w:tplc="D8EC700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1AE04765"/>
    <w:multiLevelType w:val="hybridMultilevel"/>
    <w:tmpl w:val="7BB694B6"/>
    <w:lvl w:ilvl="0" w:tplc="08090019">
      <w:start w:val="1"/>
      <w:numFmt w:val="lowerLetter"/>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6C711C"/>
    <w:multiLevelType w:val="hybridMultilevel"/>
    <w:tmpl w:val="22BC0E74"/>
    <w:lvl w:ilvl="0" w:tplc="F24287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D04C2B"/>
    <w:multiLevelType w:val="hybridMultilevel"/>
    <w:tmpl w:val="AC58401C"/>
    <w:lvl w:ilvl="0" w:tplc="A5DC85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17C97"/>
    <w:multiLevelType w:val="hybridMultilevel"/>
    <w:tmpl w:val="5C6CF4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0B7603"/>
    <w:multiLevelType w:val="hybridMultilevel"/>
    <w:tmpl w:val="FC6A1CD0"/>
    <w:lvl w:ilvl="0" w:tplc="5DBC67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104F8B"/>
    <w:multiLevelType w:val="hybridMultilevel"/>
    <w:tmpl w:val="57ACDA2A"/>
    <w:lvl w:ilvl="0" w:tplc="5B7610B0">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DE131F"/>
    <w:multiLevelType w:val="hybridMultilevel"/>
    <w:tmpl w:val="0C7C47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C26424"/>
    <w:multiLevelType w:val="hybridMultilevel"/>
    <w:tmpl w:val="8C1207B8"/>
    <w:lvl w:ilvl="0" w:tplc="0A9EC5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837CD8"/>
    <w:multiLevelType w:val="hybridMultilevel"/>
    <w:tmpl w:val="850C91C6"/>
    <w:lvl w:ilvl="0" w:tplc="0FBE2E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F76EF8"/>
    <w:multiLevelType w:val="hybridMultilevel"/>
    <w:tmpl w:val="6004EBE0"/>
    <w:lvl w:ilvl="0" w:tplc="00F4E94A">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3" w15:restartNumberingAfterBreak="0">
    <w:nsid w:val="719D60A7"/>
    <w:multiLevelType w:val="hybridMultilevel"/>
    <w:tmpl w:val="5EB231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7752162">
    <w:abstractNumId w:val="10"/>
  </w:num>
  <w:num w:numId="2" w16cid:durableId="439573899">
    <w:abstractNumId w:val="2"/>
  </w:num>
  <w:num w:numId="3" w16cid:durableId="2147239370">
    <w:abstractNumId w:val="12"/>
  </w:num>
  <w:num w:numId="4" w16cid:durableId="476532447">
    <w:abstractNumId w:val="9"/>
  </w:num>
  <w:num w:numId="5" w16cid:durableId="779884257">
    <w:abstractNumId w:val="5"/>
  </w:num>
  <w:num w:numId="6" w16cid:durableId="233318770">
    <w:abstractNumId w:val="3"/>
  </w:num>
  <w:num w:numId="7" w16cid:durableId="1932814994">
    <w:abstractNumId w:val="4"/>
  </w:num>
  <w:num w:numId="8" w16cid:durableId="2061394496">
    <w:abstractNumId w:val="7"/>
  </w:num>
  <w:num w:numId="9" w16cid:durableId="583878113">
    <w:abstractNumId w:val="11"/>
  </w:num>
  <w:num w:numId="10" w16cid:durableId="786045826">
    <w:abstractNumId w:val="13"/>
  </w:num>
  <w:num w:numId="11" w16cid:durableId="1297681985">
    <w:abstractNumId w:val="1"/>
  </w:num>
  <w:num w:numId="12" w16cid:durableId="1828479124">
    <w:abstractNumId w:val="8"/>
  </w:num>
  <w:num w:numId="13" w16cid:durableId="2086099642">
    <w:abstractNumId w:val="0"/>
  </w:num>
  <w:num w:numId="14" w16cid:durableId="3200409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F2B"/>
    <w:rsid w:val="00035F62"/>
    <w:rsid w:val="000404C0"/>
    <w:rsid w:val="00041F81"/>
    <w:rsid w:val="00052106"/>
    <w:rsid w:val="00052B65"/>
    <w:rsid w:val="0007518D"/>
    <w:rsid w:val="00076A78"/>
    <w:rsid w:val="00097A31"/>
    <w:rsid w:val="000B0668"/>
    <w:rsid w:val="000D0AE6"/>
    <w:rsid w:val="000F2203"/>
    <w:rsid w:val="00105D23"/>
    <w:rsid w:val="00130D26"/>
    <w:rsid w:val="001318FA"/>
    <w:rsid w:val="00136E75"/>
    <w:rsid w:val="00147604"/>
    <w:rsid w:val="00163B34"/>
    <w:rsid w:val="001707B2"/>
    <w:rsid w:val="00173B05"/>
    <w:rsid w:val="001B0091"/>
    <w:rsid w:val="00220A0A"/>
    <w:rsid w:val="002215BB"/>
    <w:rsid w:val="002309DB"/>
    <w:rsid w:val="0024772C"/>
    <w:rsid w:val="0025675C"/>
    <w:rsid w:val="00261A81"/>
    <w:rsid w:val="0026274C"/>
    <w:rsid w:val="002B75FA"/>
    <w:rsid w:val="002E1252"/>
    <w:rsid w:val="002F40AC"/>
    <w:rsid w:val="00307033"/>
    <w:rsid w:val="003107FF"/>
    <w:rsid w:val="00315F46"/>
    <w:rsid w:val="00320A9C"/>
    <w:rsid w:val="00341130"/>
    <w:rsid w:val="0037313F"/>
    <w:rsid w:val="003741F9"/>
    <w:rsid w:val="003B31B5"/>
    <w:rsid w:val="003D1067"/>
    <w:rsid w:val="003D3CB4"/>
    <w:rsid w:val="003D676E"/>
    <w:rsid w:val="003E17D4"/>
    <w:rsid w:val="003E7584"/>
    <w:rsid w:val="003F7CBD"/>
    <w:rsid w:val="004047A6"/>
    <w:rsid w:val="00425890"/>
    <w:rsid w:val="0043145F"/>
    <w:rsid w:val="004636C7"/>
    <w:rsid w:val="00482DBC"/>
    <w:rsid w:val="0049050F"/>
    <w:rsid w:val="004932D9"/>
    <w:rsid w:val="004A61D4"/>
    <w:rsid w:val="004B62E0"/>
    <w:rsid w:val="0051568B"/>
    <w:rsid w:val="0053137B"/>
    <w:rsid w:val="005325BE"/>
    <w:rsid w:val="00540D8D"/>
    <w:rsid w:val="00575750"/>
    <w:rsid w:val="005809D0"/>
    <w:rsid w:val="00581125"/>
    <w:rsid w:val="005E0D85"/>
    <w:rsid w:val="00600B65"/>
    <w:rsid w:val="00607B92"/>
    <w:rsid w:val="006663F9"/>
    <w:rsid w:val="00690D55"/>
    <w:rsid w:val="00693C36"/>
    <w:rsid w:val="00696126"/>
    <w:rsid w:val="006A594A"/>
    <w:rsid w:val="006A5EA1"/>
    <w:rsid w:val="006D5978"/>
    <w:rsid w:val="006F3F81"/>
    <w:rsid w:val="007045F9"/>
    <w:rsid w:val="00710699"/>
    <w:rsid w:val="00712EDB"/>
    <w:rsid w:val="00766814"/>
    <w:rsid w:val="0077222A"/>
    <w:rsid w:val="00794DD7"/>
    <w:rsid w:val="007F5141"/>
    <w:rsid w:val="00840DE2"/>
    <w:rsid w:val="008445AC"/>
    <w:rsid w:val="00856F0B"/>
    <w:rsid w:val="00877897"/>
    <w:rsid w:val="008C1870"/>
    <w:rsid w:val="008C5C8E"/>
    <w:rsid w:val="008F2873"/>
    <w:rsid w:val="008F377D"/>
    <w:rsid w:val="00906020"/>
    <w:rsid w:val="00927939"/>
    <w:rsid w:val="00937EE8"/>
    <w:rsid w:val="00944E09"/>
    <w:rsid w:val="00963233"/>
    <w:rsid w:val="009A33AF"/>
    <w:rsid w:val="009B4C5B"/>
    <w:rsid w:val="009D590F"/>
    <w:rsid w:val="00A16F5C"/>
    <w:rsid w:val="00A23B43"/>
    <w:rsid w:val="00A34BA8"/>
    <w:rsid w:val="00A66D86"/>
    <w:rsid w:val="00A80F7F"/>
    <w:rsid w:val="00AA0E27"/>
    <w:rsid w:val="00AA48EE"/>
    <w:rsid w:val="00AE7B4D"/>
    <w:rsid w:val="00B27364"/>
    <w:rsid w:val="00B27415"/>
    <w:rsid w:val="00B67DE1"/>
    <w:rsid w:val="00C12A53"/>
    <w:rsid w:val="00C328DD"/>
    <w:rsid w:val="00C6131B"/>
    <w:rsid w:val="00C8665D"/>
    <w:rsid w:val="00CD1FDE"/>
    <w:rsid w:val="00CF3AF4"/>
    <w:rsid w:val="00D34CDE"/>
    <w:rsid w:val="00D7333E"/>
    <w:rsid w:val="00D73504"/>
    <w:rsid w:val="00D73CFE"/>
    <w:rsid w:val="00DB1F2B"/>
    <w:rsid w:val="00DB35F7"/>
    <w:rsid w:val="00DF54D2"/>
    <w:rsid w:val="00E36AEA"/>
    <w:rsid w:val="00E83770"/>
    <w:rsid w:val="00E84937"/>
    <w:rsid w:val="00EA2656"/>
    <w:rsid w:val="00EA3FC1"/>
    <w:rsid w:val="00ED36BA"/>
    <w:rsid w:val="00ED5CAD"/>
    <w:rsid w:val="00F24217"/>
    <w:rsid w:val="00F24682"/>
    <w:rsid w:val="00F91B01"/>
    <w:rsid w:val="00FA2E5B"/>
    <w:rsid w:val="00FB4441"/>
    <w:rsid w:val="00FE5647"/>
    <w:rsid w:val="00FF4B90"/>
    <w:rsid w:val="00FF4C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0ED99D"/>
  <w15:chartTrackingRefBased/>
  <w15:docId w15:val="{E8277740-AC51-4ED3-9FB5-AB7DABF0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D676E"/>
    <w:rPr>
      <w:rFonts w:ascii="Tahoma" w:hAnsi="Tahoma" w:cs="Tahoma"/>
      <w:sz w:val="16"/>
      <w:szCs w:val="16"/>
    </w:rPr>
  </w:style>
  <w:style w:type="character" w:customStyle="1" w:styleId="BalloonTextChar">
    <w:name w:val="Balloon Text Char"/>
    <w:link w:val="BalloonText"/>
    <w:rsid w:val="003D676E"/>
    <w:rPr>
      <w:rFonts w:ascii="Tahoma" w:hAnsi="Tahoma" w:cs="Tahoma"/>
      <w:sz w:val="16"/>
      <w:szCs w:val="16"/>
    </w:rPr>
  </w:style>
  <w:style w:type="paragraph" w:styleId="ListParagraph">
    <w:name w:val="List Paragraph"/>
    <w:basedOn w:val="Normal"/>
    <w:uiPriority w:val="34"/>
    <w:qFormat/>
    <w:rsid w:val="00130D26"/>
    <w:pPr>
      <w:ind w:left="720"/>
    </w:pPr>
  </w:style>
  <w:style w:type="paragraph" w:customStyle="1" w:styleId="Default">
    <w:name w:val="Default"/>
    <w:rsid w:val="00C12A53"/>
    <w:pPr>
      <w:autoSpaceDE w:val="0"/>
      <w:autoSpaceDN w:val="0"/>
      <w:adjustRightInd w:val="0"/>
    </w:pPr>
    <w:rPr>
      <w:rFonts w:ascii="HelveticaNeueLT Std Lt" w:hAnsi="HelveticaNeueLT Std Lt" w:cs="HelveticaNeueLT Std Lt"/>
      <w:color w:val="000000"/>
      <w:sz w:val="24"/>
      <w:szCs w:val="24"/>
    </w:rPr>
  </w:style>
  <w:style w:type="paragraph" w:customStyle="1" w:styleId="Pa6">
    <w:name w:val="Pa6"/>
    <w:basedOn w:val="Default"/>
    <w:next w:val="Default"/>
    <w:uiPriority w:val="99"/>
    <w:rsid w:val="00C12A53"/>
    <w:pPr>
      <w:spacing w:line="201" w:lineRule="atLeast"/>
    </w:pPr>
    <w:rPr>
      <w:rFonts w:cs="Times New Roman"/>
      <w:color w:val="auto"/>
    </w:rPr>
  </w:style>
  <w:style w:type="paragraph" w:customStyle="1" w:styleId="Pa9">
    <w:name w:val="Pa9"/>
    <w:basedOn w:val="Default"/>
    <w:next w:val="Default"/>
    <w:uiPriority w:val="99"/>
    <w:rsid w:val="00C12A53"/>
    <w:pPr>
      <w:spacing w:line="201" w:lineRule="atLeast"/>
    </w:pPr>
    <w:rPr>
      <w:rFonts w:cs="Times New Roman"/>
      <w:color w:val="auto"/>
    </w:rPr>
  </w:style>
  <w:style w:type="paragraph" w:customStyle="1" w:styleId="Pa10">
    <w:name w:val="Pa10"/>
    <w:basedOn w:val="Default"/>
    <w:next w:val="Default"/>
    <w:uiPriority w:val="99"/>
    <w:rsid w:val="00C12A53"/>
    <w:pPr>
      <w:spacing w:line="201" w:lineRule="atLeast"/>
    </w:pPr>
    <w:rPr>
      <w:rFonts w:cs="Times New Roman"/>
      <w:color w:val="auto"/>
    </w:rPr>
  </w:style>
  <w:style w:type="paragraph" w:styleId="Header">
    <w:name w:val="header"/>
    <w:basedOn w:val="Normal"/>
    <w:link w:val="HeaderChar"/>
    <w:rsid w:val="00C12A53"/>
    <w:pPr>
      <w:tabs>
        <w:tab w:val="center" w:pos="4513"/>
        <w:tab w:val="right" w:pos="9026"/>
      </w:tabs>
    </w:pPr>
  </w:style>
  <w:style w:type="character" w:customStyle="1" w:styleId="HeaderChar">
    <w:name w:val="Header Char"/>
    <w:basedOn w:val="DefaultParagraphFont"/>
    <w:link w:val="Header"/>
    <w:rsid w:val="00C12A53"/>
  </w:style>
  <w:style w:type="paragraph" w:styleId="Footer">
    <w:name w:val="footer"/>
    <w:basedOn w:val="Normal"/>
    <w:link w:val="FooterChar"/>
    <w:rsid w:val="00C12A53"/>
    <w:pPr>
      <w:tabs>
        <w:tab w:val="center" w:pos="4513"/>
        <w:tab w:val="right" w:pos="9026"/>
      </w:tabs>
    </w:pPr>
  </w:style>
  <w:style w:type="character" w:customStyle="1" w:styleId="FooterChar">
    <w:name w:val="Footer Char"/>
    <w:basedOn w:val="DefaultParagraphFont"/>
    <w:link w:val="Footer"/>
    <w:rsid w:val="00C12A53"/>
  </w:style>
  <w:style w:type="character" w:styleId="CommentReference">
    <w:name w:val="annotation reference"/>
    <w:basedOn w:val="DefaultParagraphFont"/>
    <w:rsid w:val="00937EE8"/>
    <w:rPr>
      <w:sz w:val="16"/>
      <w:szCs w:val="16"/>
    </w:rPr>
  </w:style>
  <w:style w:type="paragraph" w:styleId="CommentText">
    <w:name w:val="annotation text"/>
    <w:basedOn w:val="Normal"/>
    <w:link w:val="CommentTextChar"/>
    <w:rsid w:val="00937EE8"/>
  </w:style>
  <w:style w:type="character" w:customStyle="1" w:styleId="CommentTextChar">
    <w:name w:val="Comment Text Char"/>
    <w:basedOn w:val="DefaultParagraphFont"/>
    <w:link w:val="CommentText"/>
    <w:rsid w:val="00937EE8"/>
  </w:style>
  <w:style w:type="paragraph" w:styleId="CommentSubject">
    <w:name w:val="annotation subject"/>
    <w:basedOn w:val="CommentText"/>
    <w:next w:val="CommentText"/>
    <w:link w:val="CommentSubjectChar"/>
    <w:semiHidden/>
    <w:unhideWhenUsed/>
    <w:rsid w:val="00937EE8"/>
    <w:rPr>
      <w:b/>
      <w:bCs/>
    </w:rPr>
  </w:style>
  <w:style w:type="character" w:customStyle="1" w:styleId="CommentSubjectChar">
    <w:name w:val="Comment Subject Char"/>
    <w:basedOn w:val="CommentTextChar"/>
    <w:link w:val="CommentSubject"/>
    <w:semiHidden/>
    <w:rsid w:val="00937EE8"/>
    <w:rPr>
      <w:b/>
      <w:bCs/>
    </w:rPr>
  </w:style>
  <w:style w:type="paragraph" w:styleId="Revision">
    <w:name w:val="Revision"/>
    <w:hidden/>
    <w:uiPriority w:val="99"/>
    <w:semiHidden/>
    <w:rsid w:val="004A6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07BEE-416B-4A35-8BAF-1AD1AE19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794</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Schroders</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scarlem</dc:creator>
  <cp:keywords/>
  <cp:lastModifiedBy>Banks, Melissa</cp:lastModifiedBy>
  <cp:revision>32</cp:revision>
  <cp:lastPrinted>2015-04-22T20:03:00Z</cp:lastPrinted>
  <dcterms:created xsi:type="dcterms:W3CDTF">2020-03-16T16:22:00Z</dcterms:created>
  <dcterms:modified xsi:type="dcterms:W3CDTF">2024-04-22T13:24:00Z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certus_dno">
    <vt:lpwstr>277684 V1</vt:lpwstr>
  </property>
  <property fmtid="{D5CDD505-2E9C-101B-9397-08002B2CF9AE}" pid="3" name="ascertus_authorid">
    <vt:lpwstr>HARRIRO</vt:lpwstr>
  </property>
  <property fmtid="{D5CDD505-2E9C-101B-9397-08002B2CF9AE}" pid="4" name="ascertus_lasteditdate">
    <vt:lpwstr>25/04/2018</vt:lpwstr>
  </property>
  <property fmtid="{D5CDD505-2E9C-101B-9397-08002B2CF9AE}" pid="5" name="ascertus_snsr">
    <vt:lpwstr>UKC.277684v1</vt:lpwstr>
  </property>
</Properties>
</file>